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/>
        <w:spacing w:lineRule="auto" w:line="240"/>
        <w:rPr>
          <w:rFonts w:eastAsia="Times New Roman" w:cs="Times New Roman"/>
          <w:color w:val="000000"/>
          <w:sz w:val="52"/>
          <w:szCs w:val="52"/>
        </w:rPr>
      </w:pPr>
      <w:r>
        <w:rPr/>
        <w:drawing>
          <wp:inline distT="0" distB="0" distL="0" distR="0">
            <wp:extent cx="3556635" cy="137160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pBdr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 w:ascii="Times New Roman" w:hAnsi="Times New Roman"/>
          <w:color w:val="000000"/>
          <w:sz w:val="52"/>
          <w:szCs w:val="52"/>
        </w:rPr>
      </w:r>
    </w:p>
    <w:p>
      <w:pPr>
        <w:pStyle w:val="Normal"/>
        <w:pBdr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 w:ascii="Times New Roman" w:hAnsi="Times New Roman"/>
          <w:color w:val="000000"/>
          <w:sz w:val="52"/>
          <w:szCs w:val="52"/>
        </w:rPr>
      </w:r>
    </w:p>
    <w:p>
      <w:pPr>
        <w:pStyle w:val="Normal"/>
        <w:pBdr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 w:ascii="Times New Roman" w:hAnsi="Times New Roman"/>
          <w:color w:val="000000"/>
          <w:sz w:val="52"/>
          <w:szCs w:val="52"/>
        </w:rPr>
      </w:r>
    </w:p>
    <w:p>
      <w:pPr>
        <w:pStyle w:val="Normal"/>
        <w:pBdr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 w:ascii="Times New Roman" w:hAnsi="Times New Roman"/>
          <w:color w:val="000000"/>
          <w:sz w:val="52"/>
          <w:szCs w:val="5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 w:ascii="Times New Roman" w:hAnsi="Times New Roman"/>
          <w:color w:val="000000"/>
          <w:position w:val="-1"/>
          <w:sz w:val="48"/>
          <w:szCs w:val="48"/>
        </w:rPr>
        <w:t>Инструкция по охране труда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 w:ascii="Times New Roman" w:hAnsi="Times New Roman"/>
          <w:color w:val="000000"/>
          <w:sz w:val="52"/>
          <w:szCs w:val="5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 w:ascii="Times New Roman" w:hAnsi="Times New Roman"/>
          <w:color w:val="000000"/>
          <w:position w:val="-1"/>
          <w:sz w:val="40"/>
          <w:szCs w:val="40"/>
        </w:rPr>
        <w:t>компетенции «Вожатская деятельность»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 w:ascii="Times New Roman" w:hAnsi="Times New Roman"/>
          <w:position w:val="-1"/>
          <w:sz w:val="36"/>
          <w:szCs w:val="36"/>
          <w:u w:val="none"/>
        </w:rPr>
        <w:t xml:space="preserve">Межрегионального </w:t>
      </w:r>
      <w:r>
        <w:rPr>
          <w:rFonts w:eastAsia="Times New Roman" w:cs="Times New Roman" w:ascii="Times New Roman" w:hAnsi="Times New Roman"/>
          <w:position w:val="-1"/>
          <w:sz w:val="36"/>
          <w:szCs w:val="36"/>
        </w:rPr>
        <w:t>этапа</w:t>
      </w:r>
      <w:r>
        <w:rPr>
          <w:rFonts w:eastAsia="Times New Roman" w:cs="Times New Roman" w:ascii="Times New Roman" w:hAnsi="Times New Roman"/>
          <w:color w:val="000000"/>
          <w:position w:val="-1"/>
          <w:sz w:val="36"/>
          <w:szCs w:val="36"/>
        </w:rPr>
        <w:t xml:space="preserve"> Чемпионата по профессиональному мастерству «Профессионалы» 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u w:val="none"/>
        </w:rPr>
      </w:pPr>
      <w:r>
        <w:rPr>
          <w:rFonts w:eastAsia="Times New Roman" w:cs="Times New Roman" w:ascii="Times New Roman" w:hAnsi="Times New Roman"/>
          <w:color w:val="000000"/>
          <w:position w:val="-1"/>
          <w:sz w:val="36"/>
          <w:szCs w:val="36"/>
          <w:u w:val="none"/>
        </w:rPr>
        <w:t>Оренбургская область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position w:val="-1"/>
        </w:rPr>
        <w:t>регион проведения</w:t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</w:r>
    </w:p>
    <w:p>
      <w:pPr>
        <w:pStyle w:val="Normal"/>
        <w:pBdr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2025 г.</w:t>
      </w:r>
      <w:r>
        <w:br w:type="page"/>
      </w:r>
    </w:p>
    <w:p>
      <w:pPr>
        <w:pStyle w:val="Normal"/>
        <w:pBdr/>
        <w:spacing w:lineRule="auto" w:line="240" w:before="0" w:after="0"/>
        <w:ind w:hanging="360" w:left="360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rmal"/>
        <w:pBdr/>
        <w:spacing w:lineRule="auto" w:line="240" w:before="0" w:after="0"/>
        <w:ind w:hanging="360" w:left="360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rmal"/>
        <w:pBdr/>
        <w:spacing w:lineRule="auto" w:line="240" w:before="0" w:after="0"/>
        <w:ind w:hanging="360" w:left="360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cs="Times New Roman" w:ascii="Times New Roman" w:hAnsi="Times New Roman"/>
              <w:color w:val="auto"/>
              <w:sz w:val="28"/>
              <w:szCs w:val="28"/>
            </w:rPr>
            <w:t>Оглавление</w:t>
          </w:r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r>
            <w:fldChar w:fldCharType="begin"/>
          </w:r>
          <w:r>
            <w:rPr>
              <w:webHidden/>
              <w:rStyle w:val="Style17"/>
              <w:sz w:val="28"/>
              <w:szCs w:val="28"/>
              <w:rFonts w:cs="Times New Roman" w:ascii="Times New Roman" w:hAnsi="Times New Roman"/>
              <w:color w:val="auto"/>
            </w:rPr>
            <w:instrText xml:space="preserve"> TOC \z \o "1-3" \u \h</w:instrText>
          </w:r>
          <w:r>
            <w:rPr>
              <w:webHidden/>
              <w:rStyle w:val="Style17"/>
              <w:sz w:val="28"/>
              <w:szCs w:val="28"/>
              <w:rFonts w:cs="Times New Roman" w:ascii="Times New Roman" w:hAnsi="Times New Roman"/>
              <w:color w:val="auto"/>
            </w:rPr>
            <w:fldChar w:fldCharType="separate"/>
          </w:r>
          <w:hyperlink w:anchor="_Toc150706484" w:tgtFrame="#_Toc150706484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1. Область применения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_Toc150706484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85" w:tgtFrame="#_Toc150706485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2. Нормативные ссылки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_Toc150706485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86" w:tgtFrame="#_Toc150706486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3. Общие требования охраны труда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_Toc150706486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87" w:tgtFrame="#_Toc150706487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4. Требования охраны труда перед началом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88" w:tgtFrame="#_Toc150706488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5.Требования охраны труда во время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_Toc150706488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89" w:tgtFrame="#_Toc150706489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6. Требования охраны труда в аварийных ситуациях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_Toc150706489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0" w:tgtFrame="#_Toc150706490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7. Требование охраны труда по окончании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1" w:tgtFrame="#_Toc150706491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Инструкция по охране труда для экспертов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2" w:tgtFrame="#_Toc150706492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1.Общие требования охраны труда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3" w:tgtFrame="#_Toc150706493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2.Требования охраны труда перед началом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4" w:tgtFrame="#_Toc150706494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3.Требования охраны труда во время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5" w:tgtFrame="#_Toc150706495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4. Требования охраны труда в аварийных ситуациях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right" w:pos="10196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</w:rPr>
          </w:pPr>
          <w:hyperlink w:anchor="_Toc150706496" w:tgtFrame="#_Toc150706496">
            <w:r>
              <w:rPr>
                <w:webHidden/>
                <w:rStyle w:val="Style17"/>
                <w:rFonts w:cs="Times New Roman" w:ascii="Times New Roman" w:hAnsi="Times New Roman"/>
                <w:color w:val="auto"/>
                <w:sz w:val="28"/>
                <w:szCs w:val="28"/>
              </w:rPr>
              <w:t>5.Требование охраны труда по окончании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_Toc150706496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sz w:val="28"/>
                <w:szCs w:val="28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ormal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  <w:r>
        <w:br w:type="page"/>
      </w:r>
    </w:p>
    <w:p>
      <w:pPr>
        <w:pStyle w:val="-21"/>
        <w:spacing w:before="0" w:after="120"/>
        <w:jc w:val="center"/>
        <w:rPr/>
      </w:pPr>
      <w:bookmarkStart w:id="0" w:name="_Toc150706484"/>
      <w:r>
        <w:rPr/>
        <w:t>1. Область применения</w:t>
      </w:r>
      <w:bookmarkEnd w:id="0"/>
    </w:p>
    <w:p>
      <w:pPr>
        <w:pStyle w:val="Normal"/>
        <w:pBdr/>
        <w:spacing w:lineRule="auto" w:line="36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position w:val="-1"/>
          <w:sz w:val="28"/>
          <w:szCs w:val="28"/>
        </w:rPr>
        <w:t xml:space="preserve">1.1.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>
        <w:rPr>
          <w:rFonts w:cs="Times New Roman" w:ascii="Times New Roman" w:hAnsi="Times New Roman"/>
          <w:position w:val="-1"/>
          <w:sz w:val="28"/>
          <w:szCs w:val="28"/>
        </w:rPr>
        <w:t>Межрегионального</w:t>
      </w:r>
      <w:bookmarkStart w:id="1" w:name="_Toc150706485"/>
      <w:r>
        <w:rPr>
          <w:rFonts w:eastAsia="Times New Roman" w:cs="Times New Roman" w:ascii="Times New Roman" w:hAnsi="Times New Roman"/>
          <w:color w:val="000000"/>
          <w:position w:val="-1"/>
          <w:sz w:val="28"/>
          <w:szCs w:val="28"/>
        </w:rPr>
        <w:t xml:space="preserve"> этапа Чемпионата по профессиональному мастерству «Профессионалы» в 2025 г. (далее Чемпионата).</w:t>
      </w:r>
    </w:p>
    <w:p>
      <w:pPr>
        <w:pStyle w:val="Normal"/>
        <w:numPr>
          <w:ilvl w:val="0"/>
          <w:numId w:val="0"/>
        </w:numPr>
        <w:pBdr/>
        <w:spacing w:lineRule="auto" w:line="36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position w:val="-1"/>
          <w:sz w:val="28"/>
          <w:szCs w:val="28"/>
        </w:rP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 «Вожатская деятельность</w:t>
      </w:r>
      <w:bookmarkStart w:id="2" w:name="_GoBack"/>
      <w:bookmarkEnd w:id="2"/>
      <w:r>
        <w:rPr>
          <w:rFonts w:eastAsia="Times New Roman" w:cs="Times New Roman" w:ascii="Times New Roman" w:hAnsi="Times New Roman"/>
          <w:color w:val="000000"/>
          <w:position w:val="-1"/>
          <w:sz w:val="28"/>
          <w:szCs w:val="28"/>
        </w:rPr>
        <w:t xml:space="preserve">». 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Нормативные ссылки</w:t>
      </w:r>
      <w:bookmarkEnd w:id="1"/>
    </w:p>
    <w:p>
      <w:pPr>
        <w:pStyle w:val="Normal"/>
        <w:spacing w:lineRule="auto" w:line="360" w:before="0"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 Трудовой кодекс Российской Федерации от 30.12.2001 № 197-ФЗ.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2.1.3. Постановление главного государственный санитарного врача Российской Федерации ОТ 28 сентября 2020 года № 28 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>
      <w:pPr>
        <w:pStyle w:val="Normal"/>
        <w:pBdr/>
        <w:spacing w:lineRule="auto" w:line="360" w:before="0" w:after="0"/>
        <w:ind w:hanging="360" w:left="360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-21"/>
        <w:jc w:val="center"/>
        <w:rPr/>
      </w:pPr>
      <w:bookmarkStart w:id="3" w:name="_Toc150706486"/>
      <w:r>
        <w:rPr/>
        <w:t>3. Общие требования охраны труда</w:t>
      </w:r>
      <w:bookmarkEnd w:id="3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3.1. К самостоятельному выполнению конкурсных заданий в компетенции «Вожатская деятельность» допускаются студенты колледжей: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ознакомленные с инструкцией по охране труда;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>
      <w:pPr>
        <w:pStyle w:val="Normal"/>
        <w:rPr>
          <w:rFonts w:ascii="Times New Roman" w:hAnsi="Times New Roman" w:eastAsia="Times New Roman" w:cs="Times New Roman"/>
          <w:color w:val="FF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FF0000"/>
          <w:sz w:val="28"/>
          <w:szCs w:val="28"/>
        </w:rPr>
      </w:r>
      <w:r>
        <w:br w:type="page"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3.2. В процессе выполнения конкурсных заданий и нахождения на территории и в помещениях места проведения конкурса, конкурсант обязан четко соблюдать: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6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инструкции по охране труда и технике безопасности; 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6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заходить за ограждения и в технические помещения;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6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соблюдать личную гигиену;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6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принимать пищу в строго отведенных местах;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6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самостоятельно использовать инструмент и оборудование, разрешенное к выполнению конкурсного задания.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3.3. Конкурсант для выполнения конкурсного задания использует самостоятельно инструменты, указанные в инфраструктурном листе в разделах «Рабочее место конкурсанта», «Расходные материалы», «Личный инструмент участника».</w:t>
      </w:r>
    </w:p>
    <w:p>
      <w:pPr>
        <w:pStyle w:val="Normal"/>
        <w:spacing w:before="120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before="12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3.4. Конкурсант для выполнения конкурсного задания использует оборудование:</w:t>
      </w:r>
    </w:p>
    <w:tbl>
      <w:tblPr>
        <w:tblStyle w:val="StGen30"/>
        <w:tblW w:w="10201" w:type="dxa"/>
        <w:jc w:val="left"/>
        <w:tblInd w:w="0" w:type="dxa"/>
        <w:tblLayout w:type="fixed"/>
        <w:tblCellMar>
          <w:top w:w="0" w:type="dxa"/>
          <w:left w:w="115" w:type="dxa"/>
          <w:bottom w:w="0" w:type="dxa"/>
          <w:right w:w="115" w:type="dxa"/>
        </w:tblCellMar>
        <w:tblLook w:val="0400" w:noHBand="0" w:noVBand="1" w:firstColumn="0" w:lastRow="0" w:lastColumn="0" w:firstRow="0"/>
      </w:tblPr>
      <w:tblGrid>
        <w:gridCol w:w="6231"/>
        <w:gridCol w:w="3969"/>
      </w:tblGrid>
      <w:tr>
        <w:trPr/>
        <w:tc>
          <w:tcPr>
            <w:tcW w:w="10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Наименование оборудования</w:t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использует самостоятельно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выполняет конкурсное задание </w:t>
            </w:r>
          </w:p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совместно с экспертом или </w:t>
            </w:r>
          </w:p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назначенным лицом старше 18 лет</w:t>
            </w:r>
          </w:p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(если применимо, отмечено маркером «да»)</w:t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Интерактивная панель, стилус для интерактивной панели, презентер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Ноутбук (компьютер), планшет, компьютерная мышь, наушники с микрофоном, пилот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Флипчарт магнитно-маркерный, доска пробковая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UCB флешка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МФУ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3.5. При выполнении конкурсного задания на конкурсанта могут воздействовать следующие вредные и (или) опасные факторы: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Физические: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режущие и колющие предметы;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повышенный шум;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ультрафиолетовое излучение.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Химические: 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несоблюдении техники безопасности возможность попадания клея на слизистые оболочки.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Психологические: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чрезмерное напряжение внимания;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усиленная нагрузка на зрение и слух;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повышенная ответственность.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3.6. Применяемые во время выполнения конкурсного задания средства индивидуальной защиты: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наушники;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удобная обувь на низком каблуке с нескользящей подошвой.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3.7. Знаки безопасности, используемые на рабочем месте, для обозначения присутствующих опасностей:</w:t>
      </w:r>
    </w:p>
    <w:p>
      <w:pPr>
        <w:pStyle w:val="ListParagraph"/>
        <w:numPr>
          <w:ilvl w:val="0"/>
          <w:numId w:val="8"/>
        </w:numPr>
        <w:pBdr/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F 04 Огнетушитель </w:t>
      </w:r>
      <w:r>
        <w:rPr/>
        <w:drawing>
          <wp:inline distT="0" distB="0" distL="0" distR="0">
            <wp:extent cx="329565" cy="318770"/>
            <wp:effectExtent l="0" t="0" r="0" b="0"/>
            <wp:docPr id="2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E22 Указатель выхода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/>
        <w:drawing>
          <wp:inline distT="0" distB="0" distL="0" distR="0">
            <wp:extent cx="616585" cy="329565"/>
            <wp:effectExtent l="0" t="0" r="0" b="0"/>
            <wp:docPr id="3" name="image9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9.png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E23 Указатель запасного выхода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/>
        <w:drawing>
          <wp:inline distT="0" distB="0" distL="0" distR="0">
            <wp:extent cx="701675" cy="382905"/>
            <wp:effectExtent l="0" t="0" r="0" b="0"/>
            <wp:docPr id="4" name="image7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EC01 Аптечка первой медицинской помощи </w:t>
      </w:r>
      <w:r>
        <w:rPr/>
        <w:drawing>
          <wp:inline distT="0" distB="0" distL="0" distR="0">
            <wp:extent cx="382905" cy="361315"/>
            <wp:effectExtent l="0" t="0" r="0" b="0"/>
            <wp:docPr id="5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P01. Запрещается курить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drawing>
          <wp:inline distT="0" distB="0" distL="0" distR="0">
            <wp:extent cx="400050" cy="409575"/>
            <wp:effectExtent l="0" t="0" r="0" b="0"/>
            <wp:docPr id="6" name="_x005F_x0000_i102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_x005F_x0000_i1025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3.8. При несчастном случае пострадавший или очевидец несчастного случая обязан немедленно сообщить о случившемся Экспертам.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 случае возникновения несчастного случая или болезни конкурсанта,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конкурсанта от дальнейшего участия в Чемпионате ввиду болезни или несчастного случая, он получит баллы за любую завершенную работу.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3.9. Конкурсанты, допустившие невыполнение или нарушение инструкции по охране труда, привлекаются к ответственности в соответствии с Положением о всероссийском Чемпионатном Движении.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Несоблюдение конкурсантом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>
      <w:pPr>
        <w:pStyle w:val="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  <w:r>
        <w:br w:type="page"/>
      </w:r>
    </w:p>
    <w:p>
      <w:pPr>
        <w:pStyle w:val="-21"/>
        <w:spacing w:before="0" w:after="120"/>
        <w:jc w:val="center"/>
        <w:rPr/>
      </w:pPr>
      <w:bookmarkStart w:id="4" w:name="_Toc150706487"/>
      <w:r>
        <w:rPr/>
        <w:t>4. Требования охраны труда перед началом работы</w:t>
      </w:r>
      <w:bookmarkEnd w:id="4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Перед началом работы конкурсанты должны выполнить следующее: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4.1. В день Д-1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4.2. Подготовить рабочее место: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наличие инструмента и расходных материалов;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готовность оборудования;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отсутствие посторонних предметов на рабочем месте и вокруг него;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проверить состояние полов (отсутствие выбоин, неровностей, скользкости).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4.3. Подготовить инструмент и оборудование, разрешенное к самостоятельной работе.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Инструмент и оборудование, не разрешенное к самостоятельному использованию конкурсантом: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Микрофонная радиосистема для демонстрации конкурсного задания;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Микшер;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Аудиосистема (микрофон);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Аудиосистема (акустическая система);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Телевизор (плазменная панель);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Зеркальный фотоаппарат;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Штатив;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Карта памяти SDHC;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Web-камера;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Флаг России;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Флаг компетенции Вожатская деятельность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убедиться в достаточности освещенности;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4.7.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-21"/>
        <w:spacing w:before="0" w:after="120"/>
        <w:jc w:val="center"/>
        <w:rPr/>
      </w:pPr>
      <w:bookmarkStart w:id="5" w:name="_Toc150706488"/>
      <w:r>
        <w:rPr/>
        <w:t>5.Требования охраны труда во время работы</w:t>
      </w:r>
      <w:bookmarkEnd w:id="5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Style w:val="StGen32"/>
        <w:tblW w:w="10031" w:type="dxa"/>
        <w:jc w:val="left"/>
        <w:tblInd w:w="0" w:type="dxa"/>
        <w:tblLayout w:type="fixed"/>
        <w:tblCellMar>
          <w:top w:w="0" w:type="dxa"/>
          <w:left w:w="115" w:type="dxa"/>
          <w:bottom w:w="0" w:type="dxa"/>
          <w:right w:w="115" w:type="dxa"/>
        </w:tblCellMar>
        <w:tblLook w:val="0400" w:noHBand="0" w:noVBand="1" w:firstColumn="0" w:lastRow="0" w:lastColumn="0" w:firstRow="0"/>
      </w:tblPr>
      <w:tblGrid>
        <w:gridCol w:w="2508"/>
        <w:gridCol w:w="7522"/>
      </w:tblGrid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Наименование инструмента/ оборудования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59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безопасности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Ноутбук (компьютер), интерактивная панель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Избегать частого включения и выключения без необходимости.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прикасаться к экрану и тыльной стороне блоков компьютера.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трогать разъемы соединительных кабелей.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приступать к работе с влажными руками.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Избегать попадания брызг воды на монитор; исключить попадания жидкости на чувствительные электронные компоненты во избежание их повреждения.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класть предметы на оборудование и дисплей.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Во время работы: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необходимо аккуратно обращаться с проводами;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запрещается работать с неисправным компьютером/ноутбуком;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нельзя заниматься очисткой компьютера/ноутбука, когда он находится под напряжением;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нельзя располагать рядом с компьютером/ноутбуком жидкости, а также работать с мокрыми руками;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нельзя производить самостоятельно вскрытие и ремонт оборудования;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запрещается переключать разъемы интерфейсных кабелей периферийных устройств;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Микрофонная радиосистема, веб- камера, видеокамера, фотоаппарат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-В случае обнаружения неисправности отключить питание устройства от сети 220 В. Для полной уверенности в этом случае лучше вытащить сетевую вилку из розетки. Сообщить Главному эксперту.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-При первоначальном включении устройства следует соблюдать осторожность.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-Не рекомендуется оставлять без присмотра включенные и еще не настроенные устройства - это может вызвать пожар.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-Все переключения режимов следует проводить до его подключения.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-Все подключения прибора к проверяемой схеме проводить при полностью отключенной радиоаппаратуре.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-При проведении работ не спешить, иначе это приводит (в лучшем случае) только к повреждениям прибора.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МФУ 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-Во избежание поражения электротоком при устранении блокировки бумаги и мелком ремонте отключить аппарат от сети.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-Не допускать воздействия огня на тонер-картридж.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Ножницы, канцелярский нож, клей.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оставлять лезвия ножниц, ножа открытыми.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 держать ножницы, нож острыми частями вверх, и не использовать их при ослабленном центральном креплении.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При работе ножницами, ножом внимательно следить за направлением резки.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Не резать на ходу.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Во время работы удерживать материал рукой так, чтобы пальцы другой руки были в стороне от лезвия.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Наносить клей на поверхность изделия только кистью.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Не допускать, чтобы клей попадал на пальцы рук, лицо, особенно глаза.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При попадании клея в глаза надо немедленно промыть их в большом количестве воды.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При работе с клеем пользоваться салфеткой. 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По окончании работы обязательно вымыть руки и кисть.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highlight w:val="yellow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Мячи: волейбольный, баскетбольный, малые, теннисные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- Проверить наличие недостаточного отскока мяча и наличие порывов. -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При наличии недостаточного отскока и порывов прекратить выполнение конкурсного задания, пока технический эксперт не обеспечит замену инвентаря, имеющего дефекты.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-Учитывать специфику спортивного инвентаря в ходе демонстрации конкурсного задания; контролировать безопасность проведения подвижных игр в ходе демонстрации конкурсного задания.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Обруч пластмассовый, фишки усеченные, флажки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-При наличии неровностей и выступов не приступать или прекратить выполнение конкурсного задания, пока технический эксперт не обеспечит замену инвентаря, имеющего дефекты.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Скакалки, канат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Проверить поверхность на наличие узлов.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При наличии узлов не приступать или прекратить выполнение конкурсного задания, пока технический эксперт не обеспечит замену инвентаря, имеющего дефекты.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Гимнастические коврики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Следить за чистотой и отсутствием неровностей и порывов.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При наличии неровностей и порывов прекратить выполнение конкурсного задания, пока технический эксперт не обеспечит замену инвентаря, имеющего дефекты.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-Учитывать специфику спортивного инвентаря в ходе демонстрации конкурсного задания; контролировать безопасность организации подвижных игр в ходе демонстрации конкурсного задания.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Эстафетные палочки Гимнастическая палка, пипидастры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-При наличии неровностей и выступов, дефектов, влияющих на использование, не приступать или прекратить выполнение конкурсного задания, пока технический эксперт не обеспечит замену инвентаря, имеющего дефекты. 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Кнопки для пробковой доски 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pBdr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- Хранить кнопки в специально отведенном месте. </w:t>
            </w:r>
          </w:p>
          <w:p>
            <w:pPr>
              <w:pStyle w:val="Normal"/>
              <w:widowControl/>
              <w:pBdr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- Использовать кнопки только по их назначению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- До и после работы проверить количество кнопок.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Ножницы, степлер, антистеплер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Хранить ножницы, степлер и антистеплер в специально отведенном месте, класть на стол во время работы сомкнутыми острыми концами от себя.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Передавать ножницы кольцами вперед с сомкнутыми лезвиями.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Нельзя резать, скреплять и раскреплять на ходу.</w:t>
            </w:r>
          </w:p>
        </w:tc>
      </w:tr>
      <w:tr>
        <w:trPr/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Пластилин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Использовать пластилин только по назначению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Работать с пластилином на дощечке, засучивать рукава перед работой.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После работы с пластилином привести в порядок рабочее место; очистить от пластилина доски, протереть стол мокрой тряпочкой.</w:t>
            </w:r>
          </w:p>
          <w:p>
            <w:pPr>
              <w:pStyle w:val="Normal"/>
              <w:widowControl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По окончании работы необходимо сначала тщательно вытереть руки бумажной салфеткой, а затем влажной салфеткой.</w:t>
            </w:r>
          </w:p>
          <w:p>
            <w:pPr>
              <w:pStyle w:val="Normal"/>
              <w:widowControl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Хранить пластилин в специальных коробках, в строго отведенном месте.</w:t>
            </w:r>
          </w:p>
        </w:tc>
      </w:tr>
    </w:tbl>
    <w:p>
      <w:pPr>
        <w:pStyle w:val="Normal"/>
        <w:spacing w:before="120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 w:before="8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5.2. При выполнении конкурсных заданий и уборке рабочих мест: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993" w:leader="none"/>
        </w:tabs>
        <w:spacing w:lineRule="auto" w:line="360" w:before="8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конкурсантов;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993" w:leader="none"/>
        </w:tabs>
        <w:spacing w:lineRule="auto" w:line="360" w:before="8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соблюдать настоящую инструкцию;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993" w:leader="none"/>
        </w:tabs>
        <w:spacing w:lineRule="auto" w:line="360" w:before="8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993" w:leader="none"/>
        </w:tabs>
        <w:spacing w:lineRule="auto" w:line="360" w:before="8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поддерживать порядок и чистоту на рабочем месте;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993" w:leader="none"/>
        </w:tabs>
        <w:spacing w:lineRule="auto" w:line="360" w:before="8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>
      <w:pPr>
        <w:pStyle w:val="ListParagraph"/>
        <w:numPr>
          <w:ilvl w:val="0"/>
          <w:numId w:val="16"/>
        </w:numPr>
        <w:tabs>
          <w:tab w:val="clear" w:pos="720"/>
          <w:tab w:val="left" w:pos="993" w:leader="none"/>
        </w:tabs>
        <w:spacing w:lineRule="auto" w:line="360" w:before="8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выполнять конкурсные задания только исправным инструментом.</w:t>
      </w:r>
    </w:p>
    <w:p>
      <w:pPr>
        <w:pStyle w:val="Normal"/>
        <w:spacing w:lineRule="auto" w:line="360" w:before="8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-21"/>
        <w:spacing w:before="0" w:after="120"/>
        <w:jc w:val="center"/>
        <w:rPr/>
      </w:pPr>
      <w:bookmarkStart w:id="6" w:name="_Toc150706489"/>
      <w:r>
        <w:rPr/>
        <w:t>6. Требования охраны труда в аварийных ситуациях</w:t>
      </w:r>
      <w:bookmarkEnd w:id="6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конкурсанту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6.2. В случае возникновения у конкурсанта плохого самочувствия или получения травмы сообщить об этом эксперту.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6.3. При поражении конкурсанта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>
      <w:pPr>
        <w:pStyle w:val="-21"/>
        <w:jc w:val="center"/>
        <w:rPr/>
      </w:pPr>
      <w:bookmarkStart w:id="7" w:name="_Toc150706490"/>
      <w:r>
        <w:rPr/>
        <w:t>7. Требование охраны труда по окончании работ</w:t>
      </w:r>
      <w:bookmarkEnd w:id="7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После окончания работ каждый конкурсант обязан:</w:t>
      </w:r>
    </w:p>
    <w:p>
      <w:pPr>
        <w:pStyle w:val="ListParagraph"/>
        <w:numPr>
          <w:ilvl w:val="0"/>
          <w:numId w:val="22"/>
        </w:numPr>
        <w:spacing w:lineRule="auto" w:line="360" w:before="0" w:after="0"/>
        <w:ind w:hanging="0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Привести в порядок рабочее место. </w:t>
      </w:r>
    </w:p>
    <w:p>
      <w:pPr>
        <w:pStyle w:val="ListParagraph"/>
        <w:numPr>
          <w:ilvl w:val="0"/>
          <w:numId w:val="22"/>
        </w:numPr>
        <w:spacing w:lineRule="auto" w:line="360" w:before="0" w:after="0"/>
        <w:ind w:hanging="0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>
      <w:pPr>
        <w:pStyle w:val="ListParagraph"/>
        <w:numPr>
          <w:ilvl w:val="0"/>
          <w:numId w:val="22"/>
        </w:numPr>
        <w:spacing w:lineRule="auto" w:line="360" w:before="0" w:after="0"/>
        <w:ind w:hanging="0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Отключить инструмент и оборудование от сети.</w:t>
      </w:r>
    </w:p>
    <w:p>
      <w:pPr>
        <w:pStyle w:val="ListParagraph"/>
        <w:numPr>
          <w:ilvl w:val="0"/>
          <w:numId w:val="22"/>
        </w:numPr>
        <w:spacing w:lineRule="auto" w:line="360" w:before="0" w:after="0"/>
        <w:ind w:hanging="0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Инструмент убрать в специально предназначенное для хранений место.</w:t>
      </w:r>
    </w:p>
    <w:p>
      <w:pPr>
        <w:pStyle w:val="ListParagraph"/>
        <w:numPr>
          <w:ilvl w:val="0"/>
          <w:numId w:val="22"/>
        </w:numPr>
        <w:spacing w:lineRule="auto" w:line="360" w:before="0" w:after="0"/>
        <w:ind w:hanging="0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  <w:r>
        <w:br w:type="page"/>
      </w:r>
    </w:p>
    <w:p>
      <w:pPr>
        <w:pStyle w:val="-21"/>
        <w:spacing w:before="0" w:after="120"/>
        <w:jc w:val="center"/>
        <w:rPr/>
      </w:pPr>
      <w:bookmarkStart w:id="8" w:name="_Toc150706491"/>
      <w:r>
        <w:rPr/>
        <w:t>Инструкция по охране труда для экспертов</w:t>
      </w:r>
      <w:bookmarkEnd w:id="8"/>
    </w:p>
    <w:p>
      <w:pPr>
        <w:pStyle w:val="-21"/>
        <w:jc w:val="center"/>
        <w:rPr/>
      </w:pPr>
      <w:bookmarkStart w:id="9" w:name="_Toc150706492"/>
      <w:r>
        <w:rPr/>
        <w:t>1.Общие требования охраны труда</w:t>
      </w:r>
      <w:bookmarkEnd w:id="9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1.1. К работе в качестве эксперта Компетенции «Вожатская деятельность» допускаются Эксперты, прошедшие специальное обучение и не имеющие противопоказаний по состоянию здоровья.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инструкции по охране труда и технике безопасности; 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электрический ток;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шум, обусловленный конструкцией оргтехники;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химические вещества, выделяющиеся при работе оргтехники;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зрительное перенапряжение при работе с ПК.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наблюдении, за выполнением конкурсного задания конкурсантами, на Эксперта могут воздействовать следующие вредные и (или) опасные производственные факторы: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Физические: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режущие и колющие предметы;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повышенный шум;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ультрафиолетовое излучение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Химические: 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несоблюдении техники безопасности возможность попадания клея на слизистые оболочки.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Психологические: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чрезмерное напряжение внимания;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усиленная нагрузка на зрение и слух;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повышенная ответственность при выполнении своих функций.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1.5. Применяемые во время выполнения конкурсного задания средства индивидуальной защиты отсутствуют.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1.6. Знаки безопасности, используемые на рабочих местах конкурсантов, для обозначения присутствующих опасностей:</w:t>
      </w:r>
    </w:p>
    <w:p>
      <w:pPr>
        <w:pStyle w:val="ListParagraph"/>
        <w:numPr>
          <w:ilvl w:val="0"/>
          <w:numId w:val="8"/>
        </w:numPr>
        <w:pBdr/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F 04 Огнетушитель </w:t>
      </w:r>
      <w:r>
        <w:rPr/>
        <w:drawing>
          <wp:inline distT="0" distB="0" distL="0" distR="0">
            <wp:extent cx="329565" cy="318770"/>
            <wp:effectExtent l="0" t="0" r="0" b="0"/>
            <wp:docPr id="7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E22 Указатель выхода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/>
        <w:drawing>
          <wp:inline distT="0" distB="0" distL="0" distR="0">
            <wp:extent cx="616585" cy="329565"/>
            <wp:effectExtent l="0" t="0" r="0" b="0"/>
            <wp:docPr id="8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E23 Указатель запасного выхода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/>
        <w:drawing>
          <wp:inline distT="0" distB="0" distL="0" distR="0">
            <wp:extent cx="701675" cy="382905"/>
            <wp:effectExtent l="0" t="0" r="0" b="0"/>
            <wp:docPr id="9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EC01 Аптечка первой медицинской помощи </w:t>
      </w:r>
      <w:r>
        <w:rPr/>
        <w:drawing>
          <wp:inline distT="0" distB="0" distL="0" distR="0">
            <wp:extent cx="382905" cy="361315"/>
            <wp:effectExtent l="0" t="0" r="0" b="0"/>
            <wp:docPr id="10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P01. Запрещается курить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drawing>
          <wp:inline distT="0" distB="0" distL="0" distR="0">
            <wp:extent cx="400050" cy="409575"/>
            <wp:effectExtent l="0" t="0" r="0" b="0"/>
            <wp:docPr id="11" name="_x005F_x0000_i102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x005F_x0000_i1026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помещении Экспертов Компетенции «Вожатская деятельность»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 В случае несчастного случая, болезни Главного эксперта воспользоваться телефонами экстренных служб:</w:t>
      </w:r>
    </w:p>
    <w:p>
      <w:pPr>
        <w:pStyle w:val="Normal"/>
        <w:shd w:val="clear" w:color="auto" w:fill="FFFFFF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Чтобы вызвать пожарных, позвонить: с городского телефона по номерам 101, 112; с мобильного телефона (для всех операторов) по номерам 101 и 112.</w:t>
      </w:r>
    </w:p>
    <w:p>
      <w:pPr>
        <w:pStyle w:val="Normal"/>
        <w:shd w:val="clear" w:color="auto" w:fill="FFFFFF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Чтобы вызвать полицию, позвонить: с городского телефона по номерам 02 и 102; с мобильного телефона (для всех операторов) по номерам 102 и 112.</w:t>
      </w:r>
    </w:p>
    <w:p>
      <w:pPr>
        <w:pStyle w:val="Normal"/>
        <w:pBdr/>
        <w:shd w:val="clear" w:color="auto" w:fill="FFFFFF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Чтобы вызвать спасателей, позвонить: с городского телефона по номерам 101, 112; с мобильного телефона (для всех операторов) по номерам 101 и 112.</w:t>
      </w:r>
    </w:p>
    <w:p>
      <w:pPr>
        <w:pStyle w:val="Normal"/>
        <w:pBdr/>
        <w:shd w:val="clear" w:color="auto" w:fill="FFFFFF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Чтобы вызвать скорую медицинскую помощь, позвонить: с городского телефона по номерам 03 или 103; с мобильного телефона (для всех операторов) по номерам 103 и 112.</w:t>
      </w:r>
    </w:p>
    <w:p>
      <w:pPr>
        <w:pStyle w:val="Normal"/>
        <w:pBdr/>
        <w:shd w:val="clear" w:color="auto" w:fill="FFFFFF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Чтобы вызвать аварийную газовую службу ОАО «Мосгаз», позвонить: с городского телефона по номерам 04 или 104; с мобильного телефона (для всех операторов) по номерам 104 и 112.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Всероссийском Чемпионатном Движении, а при необходимости согласно действующему законодательству.</w:t>
      </w:r>
    </w:p>
    <w:p>
      <w:pPr>
        <w:pStyle w:val="-21"/>
        <w:jc w:val="center"/>
        <w:rPr/>
      </w:pPr>
      <w:bookmarkStart w:id="10" w:name="_Toc150706493"/>
      <w:r>
        <w:rPr/>
        <w:t>2.Требования охраны труда перед началом работы</w:t>
      </w:r>
      <w:bookmarkEnd w:id="10"/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Перед началом работы Эксперты должны выполнить следующее: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2.1. В день Д-1,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конкурсантов в соответствии с Техническим описанием компетенции.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конкурсантами рабочих мест, инструмента и оборудования.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2.2. Ежедневно, перед началом выполнения конкурсного задания конкурсантами конкурса, Эксперт с особыми полномочиями проводит инструктаж по охране труда, Эксперты контролируют процесс подготовки рабочего места конкурсантами.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осмотреть рабочие места экспертов и конкурсантов;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привести в порядок рабочее место эксперта;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проверить правильность подключения оборудования в электросеть;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надеть необходимые средства индивидуальной защиты;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осмотреть инструмент и оборудование конкурсантов.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>
      <w:pPr>
        <w:pStyle w:val="-21"/>
        <w:jc w:val="center"/>
        <w:rPr/>
      </w:pPr>
      <w:bookmarkStart w:id="11" w:name="_Toc150706494"/>
      <w:r>
        <w:rPr/>
        <w:t>3.Требования охраны труда во время работы</w:t>
      </w:r>
      <w:bookmarkEnd w:id="11"/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3.4. Во избежание поражения током запрещается: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производить самостоятельно вскрытие и ремонт оборудования;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загромождать верхние панели устройств бумагами и посторонними предметами;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3.5. При выполнении модулей конкурсного задания конкурсантами, Эксперту необходимо быть внимательным, не отвлекаться посторонними разговорами и делами без необходимости, не отвлекать других Экспертов и конкурсантов.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3.6. Эксперту во время работы с оргтехникой: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производить включение/выключение аппаратов мокрыми руками;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ставить на устройство емкости с водой, не класть металлические предметы;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не эксплуатировать аппарат, если его уронили или корпус был поврежден;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вынимать застрявшие листы можно только после отключения устройства из сети;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запрещается перемещать аппараты включенными в сеть;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запрещается опираться на стекло оригиналодержателя, класть на него какие-либо вещи помимо оригинала;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запрещается работать на аппарате с треснувшим стеклом;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просыпанный тонер, носитель немедленно собрать пылесосом или влажной ветошью.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3.8. Запрещается:</w:t>
      </w:r>
    </w:p>
    <w:p>
      <w:pPr>
        <w:pStyle w:val="ListParagraph"/>
        <w:numPr>
          <w:ilvl w:val="0"/>
          <w:numId w:val="20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>
      <w:pPr>
        <w:pStyle w:val="ListParagraph"/>
        <w:numPr>
          <w:ilvl w:val="0"/>
          <w:numId w:val="20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иметь при себе любые средства связи;</w:t>
      </w:r>
    </w:p>
    <w:p>
      <w:pPr>
        <w:pStyle w:val="ListParagraph"/>
        <w:numPr>
          <w:ilvl w:val="0"/>
          <w:numId w:val="20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3.10. При наблюдении за выполнением конкурсного задания конкурсантами Эксперту: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993" w:leader="none"/>
        </w:tabs>
        <w:spacing w:lineRule="auto" w:line="36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>
      <w:pPr>
        <w:pStyle w:val="-21"/>
        <w:jc w:val="center"/>
        <w:rPr/>
      </w:pPr>
      <w:bookmarkStart w:id="12" w:name="_Toc150706495"/>
      <w:r>
        <w:rPr/>
        <w:t>4. Требования охраны труда в аварийных ситуациях</w:t>
      </w:r>
      <w:bookmarkEnd w:id="12"/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конкурсантов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>
      <w:pPr>
        <w:pStyle w:val="-21"/>
        <w:jc w:val="center"/>
        <w:rPr/>
      </w:pPr>
      <w:bookmarkStart w:id="13" w:name="_Toc150706496"/>
      <w:r>
        <w:rPr/>
        <w:t>5. Требование охраны труда по окончании работ</w:t>
      </w:r>
      <w:bookmarkEnd w:id="13"/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После окончания конкурсного дня Эксперт обязан: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5.2. Привести в порядок рабочее место Эксперта и проверить рабочие места конкурсантов. 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>
      <w:headerReference w:type="even" r:id="rId13"/>
      <w:headerReference w:type="default" r:id="rId14"/>
      <w:headerReference w:type="first" r:id="rId15"/>
      <w:footerReference w:type="even" r:id="rId16"/>
      <w:footerReference w:type="default" r:id="rId17"/>
      <w:footerReference w:type="first" r:id="rId18"/>
      <w:type w:val="nextPage"/>
      <w:pgSz w:w="11906" w:h="16838"/>
      <w:pgMar w:left="1134" w:right="567" w:gutter="0" w:header="567" w:top="1134" w:footer="567" w:bottom="1134"/>
      <w:pgNumType w:start="1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  <w:font w:name="Mayak Light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77" w:leader="none"/>
        <w:tab w:val="right" w:pos="9355" w:leader="none"/>
      </w:tabs>
      <w:spacing w:lineRule="auto" w:line="240" w:before="0" w:after="0"/>
      <w:jc w:val="right"/>
      <w:rPr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  <w:p>
    <w:pPr>
      <w:pStyle w:val="Normal"/>
      <w:pBdr/>
      <w:tabs>
        <w:tab w:val="clear" w:pos="720"/>
        <w:tab w:val="left" w:pos="8040" w:leader="none"/>
      </w:tabs>
      <w:spacing w:lineRule="auto" w:line="240" w:before="0" w:after="0"/>
      <w:rPr>
        <w:rFonts w:ascii="Mayak Light" w:hAnsi="Mayak Light" w:eastAsia="Mayak Light" w:cs="Mayak Light"/>
        <w:b/>
        <w:sz w:val="20"/>
        <w:szCs w:val="20"/>
      </w:rPr>
    </w:pPr>
    <w:r>
      <w:rPr>
        <w:rFonts w:eastAsia="Mayak Light" w:cs="Mayak Light" w:ascii="Mayak Light" w:hAnsi="Mayak Light"/>
        <w:b/>
        <w:sz w:val="20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77" w:leader="none"/>
        <w:tab w:val="right" w:pos="9355" w:leader="none"/>
        <w:tab w:val="right" w:pos="10631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677" w:leader="none"/>
        <w:tab w:val="right" w:pos="9355" w:leader="none"/>
      </w:tabs>
      <w:spacing w:lineRule="auto" w:line="240" w:before="0" w:after="0"/>
      <w:ind w:firstLine="1134" w:left="-1134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spacing w:lineRule="auto" w:line="360" w:before="240" w:after="120"/>
      <w:outlineLvl w:val="0"/>
    </w:pPr>
    <w:rPr>
      <w:rFonts w:ascii="Arial" w:hAnsi="Arial" w:eastAsia="Arial" w:cs="Arial"/>
      <w:b/>
      <w:smallCaps/>
      <w:color w:val="2C8DE6"/>
      <w:sz w:val="36"/>
      <w:szCs w:val="36"/>
    </w:rPr>
  </w:style>
  <w:style w:type="paragraph" w:styleId="Heading2">
    <w:name w:val="Heading 2"/>
    <w:basedOn w:val="Normal"/>
    <w:next w:val="Normal"/>
    <w:link w:val="21"/>
    <w:uiPriority w:val="9"/>
    <w:unhideWhenUsed/>
    <w:qFormat/>
    <w:pPr>
      <w:keepNext w:val="true"/>
      <w:spacing w:lineRule="auto" w:line="360" w:before="240" w:after="120"/>
      <w:outlineLvl w:val="1"/>
    </w:pPr>
    <w:rPr>
      <w:rFonts w:ascii="Arial" w:hAnsi="Arial" w:eastAsia="Arial" w:cs="Arial"/>
      <w:b/>
      <w:sz w:val="28"/>
      <w:szCs w:val="28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spacing w:lineRule="auto" w:line="360" w:before="120" w:after="0"/>
      <w:outlineLvl w:val="2"/>
    </w:pPr>
    <w:rPr>
      <w:rFonts w:ascii="Arial" w:hAnsi="Arial" w:eastAsia="Arial" w:cs="Arial"/>
      <w:b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pPr>
      <w:keepNext w:val="true"/>
      <w:widowControl w:val="false"/>
      <w:spacing w:lineRule="auto" w:line="360" w:before="0" w:after="0"/>
      <w:outlineLvl w:val="3"/>
    </w:pPr>
    <w:rPr>
      <w:rFonts w:ascii="Arial" w:hAnsi="Arial" w:eastAsia="Arial" w:cs="Arial"/>
      <w:b/>
      <w:sz w:val="28"/>
      <w:szCs w:val="28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pPr>
      <w:keepNext w:val="true"/>
      <w:widowControl w:val="false"/>
      <w:spacing w:lineRule="auto" w:line="360" w:before="0" w:after="0"/>
      <w:jc w:val="both"/>
      <w:outlineLvl w:val="4"/>
    </w:pPr>
    <w:rPr>
      <w:rFonts w:ascii="Arial" w:hAnsi="Arial" w:eastAsia="Arial" w:cs="Arial"/>
      <w:b/>
      <w:sz w:val="28"/>
      <w:szCs w:val="28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pPr>
      <w:keepNext w:val="true"/>
      <w:widowControl w:val="false"/>
      <w:spacing w:lineRule="auto" w:line="360" w:before="0" w:after="58"/>
      <w:outlineLvl w:val="5"/>
    </w:pPr>
    <w:rPr>
      <w:rFonts w:ascii="Arial" w:hAnsi="Arial" w:eastAsia="Arial" w:cs="Arial"/>
      <w:b/>
      <w:sz w:val="24"/>
      <w:szCs w:val="24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8" w:customStyle="1">
    <w:name w:val="Текст концевой сноски Знак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Style9" w:customStyle="1">
    <w:name w:val="Текст примечания Знак"/>
    <w:basedOn w:val="DefaultParagraphFont"/>
    <w:uiPriority w:val="99"/>
    <w:semiHidden/>
    <w:qFormat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b/>
      <w:sz w:val="28"/>
      <w:szCs w:val="28"/>
    </w:rPr>
  </w:style>
  <w:style w:type="character" w:styleId="InternetLink">
    <w:name w:val="Internet Link"/>
    <w:basedOn w:val="DefaultParagraphFont"/>
    <w:uiPriority w:val="99"/>
    <w:unhideWhenUsed/>
    <w:qFormat/>
    <w:rPr>
      <w:color w:themeColor="hyperlink" w:val="0000FF"/>
      <w:u w:val="single"/>
    </w:rPr>
  </w:style>
  <w:style w:type="character" w:styleId="Style10" w:customStyle="1">
    <w:name w:val="Верхний колонтитул Знак"/>
    <w:basedOn w:val="DefaultParagraphFont"/>
    <w:uiPriority w:val="99"/>
    <w:qFormat/>
    <w:rPr/>
  </w:style>
  <w:style w:type="character" w:styleId="Style11" w:customStyle="1">
    <w:name w:val="Нижний колонтитул Знак"/>
    <w:basedOn w:val="DefaultParagraphFont"/>
    <w:uiPriority w:val="99"/>
    <w:qFormat/>
    <w:rPr/>
  </w:style>
  <w:style w:type="character" w:styleId="-2" w:customStyle="1">
    <w:name w:val="!заголовок-2 Знак"/>
    <w:link w:val="-21"/>
    <w:qFormat/>
    <w:rPr>
      <w:rFonts w:ascii="Times New Roman" w:hAnsi="Times New Roman" w:eastAsia="Times New Roman" w:cs="Times New Roman"/>
      <w:b/>
      <w:sz w:val="28"/>
      <w:szCs w:val="24"/>
      <w:lang w:eastAsia="en-US"/>
    </w:rPr>
  </w:style>
  <w:style w:type="character" w:styleId="Style12" w:customStyle="1">
    <w:name w:val="!Текст Знак"/>
    <w:link w:val="Style20"/>
    <w:qFormat/>
    <w:rPr>
      <w:rFonts w:ascii="Times New Roman" w:hAnsi="Times New Roman" w:eastAsia="Times New Roman" w:cs="Times New Roman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11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styleId="Style14" w:customStyle="1">
    <w:name w:val="Тема примечания Знак"/>
    <w:basedOn w:val="Style9"/>
    <w:link w:val="annotationsubject"/>
    <w:uiPriority w:val="99"/>
    <w:semiHidden/>
    <w:qFormat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800080"/>
      <w:u w:val="singl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Style16" w:customStyle="1">
    <w:name w:val="Основной текст Знак"/>
    <w:basedOn w:val="DefaultParagraphFont"/>
    <w:uiPriority w:val="1"/>
    <w:qFormat/>
    <w:rPr>
      <w:rFonts w:ascii="Times New Roman" w:hAnsi="Times New Roman" w:eastAsia="Arial" w:cs="Times New Roman" w:eastAsiaTheme="minorEastAsia"/>
      <w:sz w:val="28"/>
      <w:szCs w:val="28"/>
    </w:rPr>
  </w:style>
  <w:style w:type="character" w:styleId="Hyperlink">
    <w:name w:val="Hyperlink"/>
    <w:rPr>
      <w:color w:val="000080"/>
      <w:u w:val="single"/>
    </w:rPr>
  </w:style>
  <w:style w:type="character" w:styleId="Style17">
    <w:name w:val="Ссылка указателя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BodyText">
    <w:name w:val="Body Text"/>
    <w:basedOn w:val="Normal"/>
    <w:link w:val="Style16"/>
    <w:uiPriority w:val="1"/>
    <w:qFormat/>
    <w:pPr>
      <w:widowControl w:val="false"/>
      <w:spacing w:lineRule="auto" w:line="240" w:before="0" w:after="0"/>
    </w:pPr>
    <w:rPr>
      <w:rFonts w:ascii="Times New Roman" w:hAnsi="Times New Roman" w:eastAsia="Arial" w:cs="Times New Roman" w:eastAsiaTheme="minorEastAsia"/>
      <w:sz w:val="28"/>
      <w:szCs w:val="28"/>
    </w:rPr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9">
    <w:name w:val="Указатель"/>
    <w:basedOn w:val="Normal"/>
    <w:qFormat/>
    <w:pPr>
      <w:suppressLineNumbers/>
    </w:pPr>
    <w:rPr>
      <w:rFonts w:cs="FreeSan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ru-RU" w:bidi="ar-SA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EndnoteText">
    <w:name w:val="Endnote Text"/>
    <w:basedOn w:val="Normal"/>
    <w:link w:val="Style8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="0"/>
    </w:pPr>
    <w:rPr/>
  </w:style>
  <w:style w:type="paragraph" w:styleId="Title">
    <w:name w:val="Title"/>
    <w:basedOn w:val="Normal"/>
    <w:next w:val="Normal"/>
    <w:link w:val="Style5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tyle6"/>
    <w:qFormat/>
    <w:pPr/>
    <w:rPr>
      <w:color w:val="5A5A5A"/>
    </w:rPr>
  </w:style>
  <w:style w:type="paragraph" w:styleId="AnnotationText">
    <w:name w:val="Annotation Text"/>
    <w:basedOn w:val="Normal"/>
    <w:link w:val="Style9"/>
    <w:uiPriority w:val="99"/>
    <w:semiHidden/>
    <w:unhideWhenUsed/>
    <w:pPr>
      <w:spacing w:lineRule="auto" w:line="24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3">
    <w:name w:val="TOC 3"/>
    <w:basedOn w:val="Normal"/>
    <w:next w:val="Normal"/>
    <w:uiPriority w:val="39"/>
    <w:unhideWhenUsed/>
    <w:pPr>
      <w:tabs>
        <w:tab w:val="clear" w:pos="720"/>
        <w:tab w:val="left" w:pos="851" w:leader="none"/>
        <w:tab w:val="right" w:pos="10205" w:leader="none"/>
      </w:tabs>
      <w:spacing w:before="0" w:after="100"/>
      <w:jc w:val="both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1"/>
    <w:uiPriority w:val="99"/>
    <w:unhideWhenUsed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-21" w:customStyle="1">
    <w:name w:val="!заголовок-2"/>
    <w:basedOn w:val="Heading2"/>
    <w:link w:val="-2"/>
    <w:qFormat/>
    <w:pPr/>
    <w:rPr>
      <w:rFonts w:ascii="Times New Roman" w:hAnsi="Times New Roman" w:eastAsia="Times New Roman" w:cs="Times New Roman"/>
      <w:szCs w:val="24"/>
      <w:lang w:eastAsia="en-US"/>
    </w:rPr>
  </w:style>
  <w:style w:type="paragraph" w:styleId="Style20" w:customStyle="1">
    <w:name w:val="!Текст"/>
    <w:basedOn w:val="Normal"/>
    <w:link w:val="Style12"/>
    <w:qFormat/>
    <w:pPr>
      <w:spacing w:lineRule="auto" w:line="360" w:before="0" w:after="0"/>
      <w:jc w:val="both"/>
    </w:pPr>
    <w:rPr>
      <w:rFonts w:ascii="Times New Roman" w:hAnsi="Times New Roman" w:eastAsia="Times New Roman" w:cs="Times New Roman"/>
      <w:szCs w:val="20"/>
    </w:rPr>
  </w:style>
  <w:style w:type="paragraph" w:styleId="FootnoteText">
    <w:name w:val="Footnote Text"/>
    <w:basedOn w:val="Normal"/>
    <w:link w:val="Style13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bullet" w:customStyle="1">
    <w:name w:val="bullet"/>
    <w:basedOn w:val="Normal"/>
    <w:qFormat/>
    <w:pPr>
      <w:numPr>
        <w:ilvl w:val="0"/>
        <w:numId w:val="1"/>
      </w:numPr>
      <w:spacing w:lineRule="auto" w:line="360" w:before="0" w:after="0"/>
    </w:pPr>
    <w:rPr>
      <w:rFonts w:ascii="Arial" w:hAnsi="Arial" w:eastAsia="Times New Roman" w:cs="Times New Roman"/>
      <w:szCs w:val="24"/>
      <w:lang w:val="en-GB" w:eastAsia="en-US"/>
    </w:rPr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>
      <w:rFonts w:ascii="Cambria" w:hAnsi="Cambria" w:eastAsia="Arial" w:cs="Arial" w:asciiTheme="minorHAnsi" w:cstheme="minorBidi" w:eastAsiaTheme="minorEastAsia" w:hAnsiTheme="minorHAnsi"/>
    </w:rPr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>
      <w:rFonts w:ascii="Cambria" w:hAnsi="Cambria" w:eastAsia="Arial" w:cs="Arial" w:asciiTheme="minorHAnsi" w:cstheme="minorBidi" w:eastAsiaTheme="minorEastAsia" w:hAnsiTheme="minorHAnsi"/>
    </w:rPr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>
      <w:rFonts w:ascii="Cambria" w:hAnsi="Cambria" w:eastAsia="Arial" w:cs="Arial" w:asciiTheme="minorHAnsi" w:cstheme="minorBidi" w:eastAsiaTheme="minorEastAsia" w:hAnsiTheme="minorHAnsi"/>
    </w:rPr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>
      <w:rFonts w:ascii="Cambria" w:hAnsi="Cambria" w:eastAsia="Arial" w:cs="Arial" w:asciiTheme="minorHAnsi" w:cstheme="minorBidi" w:eastAsiaTheme="minorEastAsia" w:hAnsiTheme="minorHAnsi"/>
    </w:rPr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>
      <w:rFonts w:ascii="Cambria" w:hAnsi="Cambria" w:eastAsia="Arial" w:cs="Arial" w:asciiTheme="minorHAnsi" w:cstheme="minorBidi" w:eastAsiaTheme="minorEastAsia" w:hAnsiTheme="minorHAnsi"/>
    </w:rPr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>
      <w:rFonts w:ascii="Cambria" w:hAnsi="Cambria" w:eastAsia="Arial" w:cs="Arial" w:asciiTheme="minorHAnsi" w:cstheme="minorBidi" w:eastAsiaTheme="minorEastAsia" w:hAnsiTheme="minorHAnsi"/>
    </w:rPr>
  </w:style>
  <w:style w:type="paragraph" w:styleId="annotationsubject">
    <w:name w:val="annotation subject"/>
    <w:basedOn w:val="AnnotationText"/>
    <w:next w:val="AnnotationText"/>
    <w:link w:val="Style14"/>
    <w:uiPriority w:val="99"/>
    <w:semiHidden/>
    <w:unhideWhenUsed/>
    <w:qFormat/>
    <w:pPr/>
    <w:rPr>
      <w:b/>
      <w:bCs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uiPriority w:val="39"/>
    <w:unhideWhenUsed/>
    <w:qFormat/>
    <w:pPr>
      <w:keepLines/>
      <w:spacing w:lineRule="auto" w:line="259" w:before="240" w:after="0"/>
      <w:outlineLvl w:val="9"/>
    </w:pPr>
    <w:rPr>
      <w:rFonts w:ascii="Calibri" w:hAnsi="Calibri" w:eastAsia="Arial" w:cs="Arial" w:asciiTheme="majorHAnsi" w:cstheme="majorBidi" w:eastAsiaTheme="majorEastAsia" w:hAnsiTheme="majorHAnsi"/>
      <w:b w:val="false"/>
      <w:caps w:val="false"/>
      <w:smallCaps w:val="false"/>
      <w:color w:themeColor="accent1" w:themeShade="bf" w:val="365F91"/>
      <w:sz w:val="32"/>
      <w:szCs w:val="32"/>
    </w:rPr>
  </w:style>
  <w:style w:type="paragraph" w:styleId="StGen28" w:customStyle="1">
    <w:name w:val="StGen28"/>
    <w:basedOn w:val="Normal"/>
    <w:next w:val="NormalWeb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pPr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6BFD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single" w:color="A6BFD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D99695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D99695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A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single" w:color="9A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B2A1C6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B2A1C6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9D0DE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single" w:color="99D0DE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AC39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single" w:color="FAC39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D99695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D99695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3D69B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single" w:color="C3D69B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B2A1C6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B2A1C6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2CCDC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single" w:color="92CCDC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AC090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single" w:color="FAC090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0">
    <w:name w:val="StGen0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3">
    <w:name w:val="StGen3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5">
    <w:name w:val="StGen5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6">
    <w:name w:val="StGen6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7">
    <w:name w:val="StGen7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8">
    <w:name w:val="StGen8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9">
    <w:name w:val="StGen9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10">
    <w:name w:val="StGen10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11">
    <w:name w:val="StGen11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2">
    <w:name w:val="StGen12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3">
    <w:name w:val="StGen13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4">
    <w:name w:val="StGen14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15">
    <w:name w:val="StGen15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16">
    <w:name w:val="StGen16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7">
    <w:name w:val="StGen17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8">
    <w:name w:val="StGen18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9">
    <w:name w:val="StGen19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20">
    <w:name w:val="StGen20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21">
    <w:name w:val="StGen21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2">
    <w:name w:val="StGen22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3">
    <w:name w:val="StGen23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4">
    <w:name w:val="StGen24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25">
    <w:name w:val="StGen25"/>
    <w:basedOn w:val="TableNormal0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StGen26">
    <w:name w:val="StGen26"/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7">
    <w:name w:val="StGen27"/>
    <w:basedOn w:val="TableNormal0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styleId="af4">
    <w:name w:val="Table Grid"/>
    <w:basedOn w:val="a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StGen29">
    <w:name w:val="StGen29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0">
    <w:name w:val="StGen3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1">
    <w:name w:val="StGen31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2">
    <w:name w:val="StGen3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3">
    <w:name w:val="StGen33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jpe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jpeg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oter" Target="footer3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<Relationship Id="rId23" Type="http://schemas.openxmlformats.org/officeDocument/2006/relationships/customXml" Target="../customXml/item1.xml"/><Relationship Id="rId24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Arial" pitchFamily="0" charset="1"/>
        <a:cs typeface="Arial" pitchFamily="0" charset="1"/>
      </a:majorFont>
      <a:minorFont>
        <a:latin typeface="Cambria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UsgkxtiTQ0MhtIepw9IGxdndD2g==">AMUW2mV5BYjHDBBWpsXP46KkXTpcKHgfVM6JqlEW5lIqEF8FrR+1LN6qqbOQHOzVttOVtyNeY2ak0SNNtBFfIiabWPoMwAmq7uTl3PJrz2N3SFWdmgJ27ysEUjFIGwumsikY5R5MiXIne0kBI/2CVra+Luvxb4hh2MC1gdk3x054L4djWBo9zKio+s9/GgAEB+MJyA7vMBpliyGKO41l4hcZTbxCisWod4faC7kwC8cQtrJ73Ga8hOy2rUxjaGzirEXyXX9LYU78V/HTqcocFeZnnvL+RpODqVSXq0rrhVlXfyctt3ZCXRVr+lSSZiDr8faoftOQQ4Pm</go:docsCustomData>
</go:gDocsCustomXmlDataStorage>
</file>

<file path=customXml/itemProps1.xml><?xml version="1.0" encoding="utf-8"?>
<ds:datastoreItem xmlns:ds="http://schemas.openxmlformats.org/officeDocument/2006/customXml" ds:itemID="{4A93B134-55B1-4411-8609-2E47D196B2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LibreOffice/24.2.5.2$Linux_X86_64 LibreOffice_project/420$Build-2</Application>
  <AppVersion>15.0000</AppVersion>
  <Pages>21</Pages>
  <Words>3998</Words>
  <Characters>27858</Characters>
  <CharactersWithSpaces>31503</CharactersWithSpaces>
  <Paragraphs>323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2024-10-29T17:34:00Z</dcterms:created>
  <dc:creator>Microsoft Office User</dc:creator>
  <dc:description/>
  <dc:language>ru-RU</dc:language>
  <cp:lastModifiedBy/>
  <dcterms:modified xsi:type="dcterms:W3CDTF">2025-03-17T11:11:09Z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